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boxplots, the key feature is the position of the **left edge** relative to **30**.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**Section A:** The left whisker extends to about **10**, and the **left edge of the box** (the 25th percentile) is around **35**. That means **about 25%** of scores are at or below ~35, but we don’t have evidence that 30 is below the 25th percentile. Since 30 is **slightly below** the left edge of the box, **less than 25%** of Section A scores are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**Section B:** The left whisker is about **0–10**, and the **left edge of the box** is around **30** (very close). That indicates the **25th percentile is approximately 30**, so **about 25%** of Section B scores are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**Section B has the greater percentage (slightly more) of students scoring at or below 30.**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Section B.**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2026-04-16T16:02:37Z</dcterms:modified>
  <cp:category/>
</cp:coreProperties>
</file>