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which midterm has a greater percentage of students with scores **at or above 120**, we look at the **position of 120 relative to the quartiles (especially the median and upper quartile)** on each boxplot.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the given boxplots: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For **Section A**, the value **120** lies **above the median but at or below the upper quartile**, meaning **less than 50%** but **more than 25%** of students scored **≥ 120**.</w:t>
      </w:r>
    </w:p>
    <w:p>
      <w:pPr>
        <w:pStyle w:val="Normal"/>
      </w:pPr>
      <w:r>
        <w:t xml:space="preserve">- For **Section B**, the value **120** lies **closer to (or above) the upper quartile**, meaning a **larger fraction** of students scored **≥ 120** than in Section 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**Section B** has the greater percentage of students scoring at least 120.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Section B**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2026-04-16T15:52:34Z</dcterms:modified>
  <cp:category/>
</cp:coreProperties>
</file>