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**Correct answer: (B).**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A confidence interval (CI) is best interpreted as a range of parameter values (effect sizes) that are **most compatible with the observed data under the assumed model**. In repeated sampling, a procedure that constructs a \(95\%\) CI will contain the true parameter about \(95\%\) of the time.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**(A)** is incorrect because CIs are *not* another way to report uncertainty “like p-values”; they address uncertainty in the parameter estimate directly, while p-values are about evidence against a null.</w:t>
      </w:r>
    </w:p>
    <w:p>
      <w:pPr>
        <w:pStyle w:val="Normal"/>
      </w:pPr>
      <w:r>
        <w:t xml:space="preserve">- **(C)** is a common misconception. Whether the *null value* lies in the CI is related to a hypothesis test, but the CI is not “instead of p-values” in that direct way; its primary meaning is about plausible parameter values.</w:t>
      </w:r>
    </w:p>
    <w:p>
      <w:pPr>
        <w:pStyle w:val="Normal"/>
      </w:pPr>
      <w:r>
        <w:t xml:space="preserve">- **(D)** is incorrect: CIs are widely recommended and useful; the problem is misinterpretation, not using them.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2026-04-16T15:53:07Z</dcterms:modified>
  <cp:category/>
</cp:coreProperties>
</file>