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causal inference</w:t>
      </w:r>
    </w:p>
    <w:p>
      <w:pPr>
        <w:pStyle w:val="Normal"/>
      </w:pPr>
      <w:r>
        <w:t xml:space="preserve"/>
      </w:r>
    </w:p>
    <w:p>
      <w:pPr>
        <w:pStyle w:val="Normal"/>
      </w:pPr>
      <w:r>
        <w:t xml:space="preserve">Reason: Random assignment balances both observed and unobserved confounders across treatment groups, enabling unbiased causal effect estimation. Population (external) inference requires random sampling from the population, which random assignment alone does not provide.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2026-04-13T12:57:08Z</dcterms:modified>
  <cp:category/>
</cp:coreProperties>
</file>