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a) Hypotheses</w:t>
      </w:r>
    </w:p>
    <w:p>
      <w:pPr>
        <w:pStyle w:val="Normal"/>
      </w:pPr>
      <w:r>
        <w:t xml:space="preserve">- H0: Perception of the effect of part‑time work on academic achievement is independent of average hours worked per week (the distribution of perceptions is the same for the three hour categories).</w:t>
      </w:r>
    </w:p>
    <w:p>
      <w:pPr>
        <w:pStyle w:val="Normal"/>
      </w:pPr>
      <w:r>
        <w:t xml:space="preserve">- Ha: Perception and hours worked are associated (the distributions differ across hour categories).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b) Conditions for chi‑square test of independence</w:t>
      </w:r>
    </w:p>
    <w:p>
      <w:pPr>
        <w:pStyle w:val="Normal"/>
      </w:pPr>
      <w:r>
        <w:t xml:space="preserve">- Data are counts from a two‑way table of mutually exclusive categories.</w:t>
      </w:r>
    </w:p>
    <w:p>
      <w:pPr>
        <w:pStyle w:val="Normal"/>
      </w:pPr>
      <w:r>
        <w:t xml:space="preserve">- Randomness/independence: SRS of 200 from &gt;20,000 students; 200 &lt; 10% of population.</w:t>
      </w:r>
    </w:p>
    <w:p>
      <w:pPr>
        <w:pStyle w:val="Normal"/>
      </w:pPr>
      <w:r>
        <w:t xml:space="preserve">- Expected counts: all expected cell counts ≥ 5 (smallest ≈ 6.83).  </w:t>
      </w:r>
    </w:p>
    <w:p>
      <w:pPr>
        <w:pStyle w:val="Normal"/>
      </w:pPr>
      <w:r>
        <w:t xml:space="preserve">Therefore, conditions are met.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c) Conclusion</w:t>
      </w:r>
    </w:p>
    <w:p>
      <w:pPr>
        <w:pStyle w:val="Normal"/>
      </w:pPr>
      <w:r>
        <w:t xml:space="preserve">Test statistic χ² = 13.94 with df = 4 yields p = 0.007. At α = 0.05 (and even α = 0.01), reject H0. There is statistically significant evidence of an association between hours worked and perceived effect on academic achievement. In particular, students working &lt;11 hours reported more positive and fewer negative effects than expected, while those working &gt;20 hours reported more negative and fewer positive effects than expected.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d) Possible error</w:t>
      </w:r>
    </w:p>
    <w:p>
      <w:pPr>
        <w:pStyle w:val="Normal"/>
      </w:pPr>
      <w:r>
        <w:t xml:space="preserve">Because we rejected H0, the potential error is Type I: concluding there is an association between hours worked and perceived effect when, in truth for the university’s students, the two variables are actually independent.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2026-04-16T12:49:48Z</dcterms:modified>
  <cp:category/>
</cp:coreProperties>
</file>