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Not Valid.</w:t>
      </w:r>
    </w:p>
    <w:p>
      <w:pPr>
        <w:pStyle w:val="Normal"/>
      </w:pPr>
      <w:r>
        <w:t xml:space="preserve"/>
      </w:r>
    </w:p>
    <w:p>
      <w:pPr>
        <w:pStyle w:val="Normal"/>
      </w:pPr>
      <w:r>
        <w:t xml:space="preserve">Reason: The student bases the claim on a couple of extreme observations (two very fast times and the single slowest time). Effectiveness should be judged by the overall distributions—center and spread. The dotplots show the new formula generally has shorter times to relief (lower center) than the old, despite a few outliers. Extreme values from a few individuals are not evidence that the old formula works better.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2026-04-13T10:53:31Z</dcterms:modified>
  <cp:category/>
</cp:coreProperties>
</file>