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w:t>
      </w:r>
    </w:p>
    <w:p>
      <w:pPr>
        <w:pStyle w:val="Normal"/>
      </w:pPr>
      <w:r>
        <w:t xml:space="preserve"/>
      </w:r>
    </w:p>
    <w:p>
      <w:pPr>
        <w:pStyle w:val="Normal"/>
      </w:pPr>
      <w:r>
        <w:t xml:space="preserve">Reason: A significant, strong correlation from a cross-sectional survey indicates an association in the population (especially with a random sample of 1,000), but it does not establish causation. Unmeasured confounders (e.g., education, neighborhood recycling access, environmental attitudes) or reverse causation could explain the relationship. The sample size is not “too small,” and concluding that higher income causes more recycling (C) is unwarranted without a causal design.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2026-04-13T10:56:03Z</dcterms:modified>
  <cp:category/>
</cp:coreProperties>
</file>