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The sample size may be too small to detect a statistically significant difference.</w:t>
      </w:r>
    </w:p>
    <w:p>
      <w:pPr>
        <w:pStyle w:val="Normal"/>
      </w:pPr>
      <w:r>
        <w:t xml:space="preserve"/>
      </w:r>
    </w:p>
    <w:p>
      <w:pPr>
        <w:pStyle w:val="Normal"/>
      </w:pPr>
      <w:r>
        <w:t xml:space="preserve">Explanation: A non-significant result means we failed to reject the null; it does not prove there is no effect. The observed higher mean in the treatment group could be due to chance or the study may have been underpowered (given variability and effect size) to detect a real difference. Hence A and C are not justified.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2026-04-13T10:37:10Z</dcterms:modified>
  <cp:category/>
</cp:coreProperties>
</file>