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I’m missing the four specific interpretations (items 28–31). Please paste their exact wording so I can label each as A (Valid) or B (Invalid).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Guidance to map them:</w:t>
      </w:r>
    </w:p>
    <w:p>
      <w:pPr>
        <w:pStyle w:val="Normal"/>
      </w:pPr>
      <w:r>
        <w:t xml:space="preserve">- Valid: “We are 95% confident that the true mean number of chips per cookie is between 18.6 and 21.3.”; “If we repeatedly took random samples and built 95% CIs the same way, about 95% of those intervals would contain the true mean.”</w:t>
      </w:r>
    </w:p>
    <w:p>
      <w:pPr>
        <w:pStyle w:val="Normal"/>
      </w:pPr>
      <w:r>
        <w:t xml:space="preserve">- Invalid: “95% of individual cookies have between 18.6 and 21.3 chips.”; “There is a 95% probability that the true mean is between 18.6 and 21.3 (for this already-computed interval).”; “95% of sample means fall between 18.6 and 21.3.”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2026-04-13T10:39:27Z</dcterms:modified>
  <cp:category/>
</cp:coreProperties>
</file>