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</w:t>
      </w:r>
    </w:p>
    <w:p>
      <w:pPr>
        <w:pStyle w:val="Normal"/>
      </w:pPr>
      <w:r>
        <w:t xml:space="preserve">- Mean (26.8) is well below the median (29.4) → distribution is left‑skewed (longer tail to smaller values).</w:t>
      </w:r>
    </w:p>
    <w:p>
      <w:pPr>
        <w:pStyle w:val="Normal"/>
      </w:pPr>
      <w:r>
        <w:t xml:space="preserve">- Histogram B shows a concentration around 29–32 mm with a tail extending left toward ~12 mm, matching the given min (12 mm) and max (~33.4 mm).</w:t>
      </w:r>
    </w:p>
    <w:p>
      <w:pPr>
        <w:pStyle w:val="Normal"/>
      </w:pPr>
      <w:r>
        <w:t xml:space="preserve">- A is closer to symmetric, and C is right‑skewed (mean &gt; median), so they don’t fit.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2026-04-13T10:46:45Z</dcterms:modified>
  <cp:category/>
</cp:coreProperties>
</file>