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>- A random sample of 500 from 5,000 dorm residents can still support generalization to all dorm students; sample size mainly affects precision (margin of error), not external validity, provided the sampling is random and response is adequate.</w:t>
      </w:r>
    </w:p>
    <w:p>
      <w:pPr>
        <w:pStyle w:val="Normal"/>
      </w:pPr>
      <w:r>
        <w:t xml:space="preserve">- B limits the frame to first-years only (coverage bias), harming generalizability.</w:t>
      </w:r>
    </w:p>
    <w:p>
      <w:pPr>
        <w:pStyle w:val="Normal"/>
      </w:pPr>
      <w:r>
        <w:t xml:space="preserve">- C (and the duplicated D) indicate low response (nonresponse bias), which also harms generalizability.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2026-04-13T10:33:52Z</dcterms:modified>
  <cp:category/>
</cp:coreProperties>
</file>