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Section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The standard deviation reflects overall spread. Section A’s boxplot has a noticeably larger IQR and longer whiskers (wider range) than Section B, indicating greater variability and hence a larger standard deviation.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2026-04-13T10:45:29Z</dcterms:modified>
  <cp:category/>
</cp:coreProperties>
</file>