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I can’t see the boxplot you’re referencing. Please attach it so I can choose A–D.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Guidance in the meantime:</w:t>
      </w:r>
    </w:p>
    <w:p>
      <w:pPr>
        <w:pStyle w:val="Normal"/>
      </w:pPr>
      <w:r>
        <w:t xml:space="preserve">- Right-skewed boxplot (longer upper whisker/upper half, median closer to Q1): mean &gt; median → choose A if both are right-skewed.</w:t>
      </w:r>
    </w:p>
    <w:p>
      <w:pPr>
        <w:pStyle w:val="Normal"/>
      </w:pPr>
      <w:r>
        <w:t xml:space="preserve">- Left-skewed boxplot (longer lower whisker/lower half, median closer to Q3): mean &lt; median → choose B if both are left-skewed.</w:t>
      </w:r>
    </w:p>
    <w:p>
      <w:pPr>
        <w:pStyle w:val="Normal"/>
      </w:pPr>
      <w:r>
        <w:t xml:space="preserve">- Approximately symmetric boxplot: mean ≈ median → choose C if both look symmetric.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Note: D is not generally correct—boxplots often let you infer the likely direction (though not the exact value) of mean vs median from skewness.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2026-04-13T09:59:54Z</dcterms:modified>
  <cp:category/>
</cp:coreProperties>
</file>