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Correct answer: B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Explanation:</w:t>
      </w:r>
    </w:p>
    <w:p>
      <w:pPr>
        <w:pStyle w:val="Normal"/>
      </w:pPr>
      <w:r>
        <w:t xml:space="preserve">- A confidence interval is best interpreted as the range of effect sizes most compatible with the observed data under the assumed model and assumptions (often called a “compatibility interval”). It conveys both magnitude and precision.</w:t>
      </w:r>
    </w:p>
    <w:p>
      <w:pPr>
        <w:pStyle w:val="Normal"/>
      </w:pPr>
      <w:r>
        <w:t xml:space="preserve">- A is too vague and equates CIs with p-values; while related, CIs provide richer information about effect size and precision, not just a single measure of extremeness.</w:t>
      </w:r>
    </w:p>
    <w:p>
      <w:pPr>
        <w:pStyle w:val="Normal"/>
      </w:pPr>
      <w:r>
        <w:t xml:space="preserve">- C reduces the interval to a dichotomous test (whether the null is included), which throws away the interval’s main value.</w:t>
      </w:r>
    </w:p>
    <w:p>
      <w:pPr>
        <w:pStyle w:val="Normal"/>
      </w:pPr>
      <w:r>
        <w:t xml:space="preserve">- D is incorrect; although both CIs and p-values can be misused, CIs are valuable when interpreted properly for estimation and practical significance.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2026-04-13T10:05:23Z</dcterms:modified>
  <cp:category/>
</cp:coreProperties>
</file>