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Why they say to stop using “statistically significant” (p &lt; 0.05):</w:t>
      </w:r>
    </w:p>
    <w:p>
      <w:pPr>
        <w:pStyle w:val="Normal"/>
      </w:pPr>
      <w:r>
        <w:t xml:space="preserve">- It enforces a false, bright-line dichotomy that turns a continuum of evidence into “yes/no,” leading to overconfident claims and underreporting of uncertainty.</w:t>
      </w:r>
    </w:p>
    <w:p>
      <w:pPr>
        <w:pStyle w:val="Normal"/>
      </w:pPr>
      <w:r>
        <w:t xml:space="preserve">- A p-value does not measure effect size, practical importance, or the probability a hypothesis is true. Calling results “significant” routinely conflates statistical detectability with scientific or policy relevance.</w:t>
      </w:r>
    </w:p>
    <w:p>
      <w:pPr>
        <w:pStyle w:val="Normal"/>
      </w:pPr>
      <w:r>
        <w:t xml:space="preserve">- The threshold is arbitrary and sample-size dependent: with large n, trivial effects become “significant”; with small n, meaningful effects are missed—fueling selective reporting, p-hacking, and poor replicability.</w:t>
      </w:r>
    </w:p>
    <w:p>
      <w:pPr>
        <w:pStyle w:val="Normal"/>
      </w:pPr>
      <w:r>
        <w:t xml:space="preserve">- “Nonsignificant” is often misread as “no effect,” confusing absence of evidence with evidence of absence.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would be better (two or three concrete practices):</w:t>
      </w:r>
    </w:p>
    <w:p>
      <w:pPr>
        <w:pStyle w:val="Normal"/>
      </w:pPr>
      <w:r>
        <w:t xml:space="preserve">- Replace dichotomous declarations with estimation: report effect sizes with interval estimates (e.g., confidence/compatibility intervals) and exact p-values, and discuss the range of effects consistent with the data and model assumptions.</w:t>
      </w:r>
    </w:p>
    <w:p>
      <w:pPr>
        <w:pStyle w:val="Normal"/>
      </w:pPr>
      <w:r>
        <w:t xml:space="preserve">- Interpret results in context: describe practical/clinical significance, study design and data quality, prior evidence/plausibility, and the consequences of decisions—rather than leaning on a threshold.</w:t>
      </w:r>
    </w:p>
    <w:p>
      <w:pPr>
        <w:pStyle w:val="Normal"/>
      </w:pPr>
      <w:r>
        <w:t xml:space="preserve">- Report robustness and alternatives: disclose all analyses tried, conduct sensitivity/robustness checks, and when appropriate complement p-values with other measures (e.g., Bayesian analyses, likelihood ratios, or false discovery rate control in multiple testing) to assess the strength of evidence.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2026-04-13T09:58:32Z</dcterms:modified>
  <cp:category/>
</cp:coreProperties>
</file>