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- Resistance: A statistic is resistant if a small fraction of extreme observations (outliers) has little effect on its value. It’s about insensitivity to aberrant points; quantified by high breakdown point/bounded influence.</w:t>
      </w:r>
    </w:p>
    <w:p>
      <w:pPr>
        <w:pStyle w:val="Normal"/>
      </w:pPr>
      <w:r>
        <w:t xml:space="preserve">  Example: The sample median (or IQR). One or a few arbitrarily large/small observations barely change the median; its breakdown point is 50%.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Robustness: A method is robust if its inferential performance (e.g., bias, Type I error, coverage) remains approximately valid under modest violations of model assumptions, even without outliers being the focus.</w:t>
      </w:r>
    </w:p>
    <w:p>
      <w:pPr>
        <w:pStyle w:val="Normal"/>
      </w:pPr>
      <w:r>
        <w:t xml:space="preserve">  Example: Welch’s two-sample t-test is robust to heteroskedasticity (unequal variances) and maintains near-nominal Type I error when group variances differ, unlike the pooled-variance t-test. (Similarly, the classic t-test is fairly robust to non-normality for moderate n by the CLT.)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2026-04-13T10:11:56Z</dcterms:modified>
  <cp:category/>
</cp:coreProperties>
</file>