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Because the runs test is a permutation test for exchangeability. We first reduce the data to two labels (e.g., above/below a threshold or sample A vs B) and then count runs of identical labels in their observed order. If the observations are a random sample (iid from a single distribution), the label attached to each value is independent of position and neighbors; equivalently, conditional on the counts of each label, all label orderings are equally likely. In the two-sample formulation this is exactly H0: F(z) = G(z): the CDFs of the two labeled groups are identical, so labels carry no information about where values fall after pooling and ranking. That exchangeability implies the observed sequence of labels is “random,” yielding the null distribution of the number of runs. Departures from random sampling (e.g., clustering from dependence/trend) break exchangeability, effectively making F ≠ G and producing too few or too many runs.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2026-04-13T10:15:52Z</dcterms:modified>
  <cp:category/>
</cp:coreProperties>
</file>