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**B) causal inference**</w:t>
      </w:r>
    </w:p>
    <w:p>
      <w:pPr>
        <w:pStyle w:val="Normal"/>
      </w:pPr>
      <w:r>
        <w:t xml:space="preserve"/>
      </w:r>
    </w:p>
    <w:p>
      <w:pPr>
        <w:pStyle w:val="Normal"/>
      </w:pPr>
      <w:r>
        <w:t xml:space="preserve">Random assignment of treatments to experimental units (randomization) balances known and unknown confounders across groups on average, enabling causal inferences about treatment effects (e.g., via the randomization distribution or potential outcomes framework). It does not, by itself, enable population inference, which requires random sampling from the target population to ensure representativeness and generalizability. Both would need random sampling *plus* random assignment (as in an RCT with a probability sample).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2026-04-16T09:29:25Z</dcterms:modified>
  <cp:category/>
</cp:coreProperties>
</file>