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Failing to reject the null hypothesis ($H_0$) when it is false is the definition of a Type II (or Type 2) error. For reference:  </w:t>
      </w:r>
    </w:p>
    <w:p>
      <w:pPr>
        <w:pStyle w:val="Normal"/>
      </w:pPr>
      <w:r>
        <w:t xml:space="preserve">- Type I error (probability $\alpha$): Reject $H_0$ when true.  </w:t>
      </w:r>
    </w:p>
    <w:p>
      <w:pPr>
        <w:pStyle w:val="Normal"/>
      </w:pPr>
      <w:r>
        <w:t xml:space="preserve">- Type II error (probability $\beta$): Fail to reject $H_0$ when false.  </w:t>
      </w:r>
    </w:p>
    <w:p>
      <w:pPr>
        <w:pStyle w:val="Normal"/>
      </w:pPr>
      <w:r>
        <w:t xml:space="preserve">- Power $= 1 - \beta$.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2026-04-16T09:25:00Z</dcterms:modified>
  <cp:category/>
</cp:coreProperties>
</file>