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Section A has a greater percentage of students scoring at or above 80. These are boxplots summarizing the score distributions. For Section A, the interquartile range (IQR, the central box containing 50% of scores) spans approximately 60–100, with the median (internal line) near 80–85; thus, 80 falls near or slightly left of the median, implying roughly 45–50% of scores are ≥80. For Section B, the IQR spans ~50–85, with the median ~65–70; 80 is near or at Q3 (top whisker extends only to ~95), implying ~20–25% ≥80. The right-skewed tails reinforce that Section A has a substantially larger upper tail beyond 80.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2026-04-16T10:24:25Z</dcterms:modified>
  <cp:category/>
</cp:coreProperties>
</file>