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student's conclusion cherry-picks outliers (two minima &lt;20 min for old; one maximum ≈120 min for new) while ignoring the overall distributions. These dot plots show both groups have substantial overlap, with new (N=100) appearing to have higher central density around 40–60 min and fewer low outliers, while old (N=150) has a slightly longer right tail but more variability due to larger sample size. Validity requires comparing centers (e.g., medians/means), spreads, or formal tests (e.g., t-test/Wilcoxon); extremes alone are misleading and do not support "old works better."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2026-04-16T10:12:29Z</dcterms:modified>
  <cp:category/>
</cp:coreProperties>
</file>