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**B. Not Valid.**</w:t>
      </w:r>
    </w:p>
    <w:p>
      <w:pPr>
        <w:pStyle w:val="Normal"/>
      </w:pPr>
      <w:r>
        <w:t xml:space="preserve"/>
      </w:r>
    </w:p>
    <w:p>
      <w:pPr>
        <w:pStyle w:val="Normal"/>
      </w:pPr>
      <w:r>
        <w:t xml:space="preserve">The student's first claim—that the sample mean relief time is lower for the new formula—is visually supported by the dot plots: the new formula (N=100) distribution is clearly left-shifted relative to the old (N=150), with its mass concentrated earlier (roughly 30–70 minutes) versus the old's (roughly 50–90 minutes). However, the conclusion that people "will tend to feel relief about 20 minutes sooner" overstates precision. Dot plots allow rough estimation of location (e.g., new median/mode ≈45–55 min, old ≈65–75 min, difference ≈15–25 min), but without summary statistics (means/SDs), exact quantification like "about 20 minutes" is unreliable and not statistically justified. A graduate-level analysis would compute sample means/confidence intervals or perform a t-test (likely significant given n's and separation, but untestable here) before claiming a specific difference; the plot alone supports "shorter on average" but not a precise 20-minute gap for the population. The randomized design supports causal inference qualitatively, but not quantitatively.</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2026-04-16T10:06:46Z</dcterms:modified>
  <cp:category/>
</cp:coreProperties>
</file>