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Not Valid.</w:t>
      </w:r>
    </w:p>
    <w:p>
      <w:pPr>
        <w:pStyle w:val="Normal"/>
      </w:pPr>
      <w:r>
        <w:t xml:space="preserve"/>
      </w:r>
    </w:p>
    <w:p>
      <w:pPr>
        <w:pStyle w:val="Normal"/>
      </w:pPr>
      <w:r>
        <w:t xml:space="preserve">The student's reasoning is incorrect. Unequal sample sizes (N=100 vs. N=150) are common in randomized experiments and do not preclude valid comparisons of the distributions (e.g., location, spread). Random assignment ensures groups are comparable, and standard methods (e.g., two-sample t-test with Welch adjustment, Wilcoxon rank-sum test, or visual comparison of dot plots accounting for density) appropriately handle unequal n. The plots suggest the new formula may have shorter relief times (shifted left), supporting inference despite imbalance.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2026-04-16T10:14:00Z</dcterms:modified>
  <cp:category/>
</cp:coreProperties>
</file>