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Class A has the lowest expected standard deviation because its histogram shows a single dominant peak (with frequency ~14–16 at one score, likely around 7), and very low frequencies elsewhere (small bars totaling much less). This means the vast majority of values are tightly clustered near the mean, minimizing $\sum (x_i - \bar{x})^2$ and thus the SD.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Other options fail: (B) fewest distinct scores does not ensure low spread if spaced far apart; (C) Class C shows clear variability across ~8–9 scores (uniform-ish, high SD); (D) ranges are similar across classes (~1–10), and low range alone ignores clustering; (E) normality affects shape but not SD magnitude.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Empirically, Class A's kurtotic shape yields the tightest dispersion.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2026-04-16T10:08:51Z</dcterms:modified>
  <cp:category/>
</cp:coreProperties>
</file>