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Class B, because more of its scores are far from the mean.**</w:t>
      </w:r>
    </w:p>
    <w:p>
      <w:pPr>
        <w:pStyle w:val="Normal"/>
      </w:pPr>
      <w:r>
        <w:t xml:space="preserve"/>
      </w:r>
    </w:p>
    <w:p>
      <w:pPr>
        <w:pStyle w:val="Normal"/>
      </w:pPr>
      <w:r>
        <w:t xml:space="preserve">The standard deviation quantifies the average deviation of scores from the mean (specifically, the square root of the variance). Visually, Class B's histogram shows frequencies concentrated in separated clusters (one around scores 4–5 and another around 7–9, with some mass at lower scores like 1–3), placing a larger proportion of scores farther from the overall mean (roughly near 6) compared to the others. </w:t>
      </w:r>
    </w:p>
    <w:p>
      <w:pPr>
        <w:pStyle w:val="Normal"/>
      </w:pPr>
      <w:r>
        <w:t xml:space="preserve"/>
      </w:r>
    </w:p>
    <w:p>
      <w:pPr>
        <w:pStyle w:val="Normal"/>
      </w:pPr>
      <w:r>
        <w:t xml:space="preserve">- Class A is tightly peaked near score 3 (narrow range ~1–5), so low SD.</w:t>
      </w:r>
    </w:p>
    <w:p>
      <w:pPr>
        <w:pStyle w:val="Normal"/>
      </w:pPr>
      <w:r>
        <w:t xml:space="preserve">- Class C is fairly uniform across ~1–9 (high SD for even spread, but less extreme than B's clustering).</w:t>
      </w:r>
    </w:p>
    <w:p>
      <w:pPr>
        <w:pStyle w:val="Normal"/>
      </w:pPr>
      <w:r>
        <w:t xml:space="preserve">- Class D is bumpy but centered ~5–6 with moderate tails (similar to a skewed normal).</w:t>
      </w:r>
    </w:p>
    <w:p>
      <w:pPr>
        <w:pStyle w:val="Normal"/>
      </w:pPr>
      <w:r>
        <w:t xml:space="preserve">- Class E is symmetric bell-shaped ~2–8 (concentrated near the mean ~5, moderate SD despite range).</w:t>
      </w:r>
    </w:p>
    <w:p>
      <w:pPr>
        <w:pStyle w:val="Normal"/>
      </w:pPr>
      <w:r>
        <w:t xml:space="preserve"/>
      </w:r>
    </w:p>
    <w:p>
      <w:pPr>
        <w:pStyle w:val="Normal"/>
      </w:pPr>
      <w:r>
        <w:t xml:space="preserve">The other options' reasons are incorrect: bar height differences (A), number of distinct scores (C), or irregularity (D) do not determine SD; range contributes (E) but normality implies less relative spread.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2026-04-16T10:15:30Z</dcterms:modified>
  <cp:category/>
</cp:coreProperties>
</file>