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most plausible sequence is (A) 30%, 35%, 15%, 40%, 50%. This shows realistic sampling variability around the true proportion of 35% for independent binomial samples (n=20, p=0.35). The sample standard deviation is ≈10.7%, so values within roughly ±2 SD (≈14–56%) are common, and these cluster near the mean (average ≈34%) with a plausible spread (range 15–50%).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(B) All exactly 35% implies no variation across samples, which is unlikely (P(X=7) ≈ 0.15, so [0.15]^5 ≈ 7×10^{-6}).</w:t>
      </w:r>
    </w:p>
    <w:p>
      <w:pPr>
        <w:pStyle w:val="Normal"/>
      </w:pPr>
      <w:r>
        <w:t xml:space="preserve">- (C) Includes implausible extremes like 95% (19/20 yellows; z-score ≈5.6, P(X≥19) ≈ 10^{-8}) and 5% (far tail).</w:t>
      </w:r>
    </w:p>
    <w:p>
      <w:pPr>
        <w:pStyle w:val="Normal"/>
      </w:pPr>
      <w:r>
        <w:t xml:space="preserve">- (D) Incorrect, as (B) and (C) are implausible.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2026-04-16T10:11:54Z</dcterms:modified>
  <cp:category/>
</cp:coreProperties>
</file>