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**C**</w:t>
      </w:r>
    </w:p>
    <w:p>
      <w:pPr>
        <w:pStyle w:val="Normal"/>
      </w:pPr>
      <w:r>
        <w:t xml:space="preserve"/>
      </w:r>
    </w:p>
    <w:p>
      <w:pPr>
        <w:pStyle w:val="Normal"/>
      </w:pPr>
      <w:r>
        <w:t xml:space="preserve">Graph C displays a clear negative association between age (x-axis) and bone density score (y-axis), with points trending downward from higher values (near 1–1.5) at younger ages (10–40) to lower values (near –2) at older ages (70–90). This indicates that bone density tends to decrease as women age, consistent with the problem statement. Graphs A and B show no such systematic downward trend (A is roughly horizontal scatter; B has weak or unclear association).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2026-04-16T10:17:34Z</dcterms:modified>
  <cp:category/>
</cp:coreProperties>
</file>