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w:t>
      </w:r>
    </w:p>
    <w:p>
      <w:pPr>
        <w:pStyle w:val="Normal"/>
      </w:pPr>
      <w:r>
        <w:t xml:space="preserve"/>
      </w:r>
    </w:p>
    <w:p>
      <w:pPr>
        <w:pStyle w:val="Normal"/>
      </w:pPr>
      <w:r>
        <w:t xml:space="preserve">The test failed to reject the null hypothesis of no difference (likely due to $p &gt; \alpha$), despite an observed higher mean enzyme level in the treatment group. This does not prove no effect (contra C, which commits the fallacy of accepting the null) nor imply researcher error/misinterpretation (contra A). Instead, the study may lack statistical power to detect a meaningful effect size, possibly because $n=60$ (e.g., $n=30$ per group) is too small relative to variability or effect size ($\beta = P($type II error$)&gt;0$). Power analyses (e.g., via $1-\beta \approx 0.8$ target) would confirm this as a plausible explanation.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2026-04-16T10:10:36Z</dcterms:modified>
  <cp:category/>
</cp:coreProperties>
</file>