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(B) Invalid.</w:t>
      </w:r>
    </w:p>
    <w:p>
      <w:pPr>
        <w:pStyle w:val="Normal"/>
      </w:pPr>
      <w:r>
        <w:t xml:space="preserve"/>
      </w:r>
    </w:p>
    <w:p>
      <w:pPr>
        <w:pStyle w:val="Normal"/>
      </w:pPr>
      <w:r>
        <w:t xml:space="preserve">The p-value of .04 is the probability of observing the data (or more extreme data) assuming the null hypothesis of no drug effect is true. It is not the probability that the drug is effective (i.e., not P(H₁ | data)).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2026-04-16T10:23:01Z</dcterms:modified>
  <cp:category/>
</cp:coreProperties>
</file>