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most appropriate comparison is the fatality rates within each group: \(\frac{510}{412{,}878}\) (or precisely \(\frac{510}{413{,}388}\)) for seat belt users versus \(\frac{1{,}601}{164{,}128}\) for non-users. These are the conditional probabilities \(P(\text{fatal} \mid \text{seat belt})\) and \(P(\text{fatal} \mid \text{no seat belt})\), which directly assess whether seat belt use lowers the chance of fatality among recorded accidents.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(B) compares unadjusted proportions of total accidents (\(P(\text{fatal and seat belt})\) vs. \(P(\text{fatal and no seat belt})\)), ignoring group sizes.</w:t>
      </w:r>
    </w:p>
    <w:p>
      <w:pPr>
        <w:pStyle w:val="Normal"/>
      </w:pPr>
      <w:r>
        <w:t xml:space="preserve">- (C) compares raw fatalities, ignoring the larger number of seat belt accidents (~2.5x more).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2026-04-16T10:04:20Z</dcterms:modified>
  <cp:category/>
</cp:coreProperties>
</file>