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 a graduate statistics student, wrist circumferences from a random sample of newborn female infants represent a continuous biological measurement. Such anthropometric data are typically unimodal and approximately symmetric (normal-like), with a central peak and equal-length tails on both sides, barring pathological factors.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**Histogram I**: Unimodal with a central peak, smoothly rising from the left tail and symmetrically falling to the right tail—matches a normal distribution.  </w:t>
      </w:r>
    </w:p>
    <w:p>
      <w:pPr>
        <w:pStyle w:val="Normal"/>
      </w:pPr>
      <w:r>
        <w:t xml:space="preserve">- **Histogram II**: Strong right skew (peak near left, long right tail).  </w:t>
      </w:r>
    </w:p>
    <w:p>
      <w:pPr>
        <w:pStyle w:val="Normal"/>
      </w:pPr>
      <w:r>
        <w:t xml:space="preserve">- **Histogram III**: Clear right skew (monotonically increasing bars, short left tail).  </w:t>
      </w:r>
    </w:p>
    <w:p>
      <w:pPr>
        <w:pStyle w:val="Normal"/>
      </w:pPr>
      <w:r>
        <w:t xml:space="preserve">- **Histogram IV**: Roughly uniform/flat-topped across bins (no clear peak).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Histogram I best represents the distribution.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2026-04-16T10:13:26Z</dcterms:modified>
  <cp:category/>
</cp:coreProperties>
</file>