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histogram in B is the best display for the distribution of the quantitative variable "proportion of hits" (values roughly 0.08–0.34). It uses equal-width bins along the proportion scale (x-axis), with bar heights showing frequencies (y-axis, 0–35). This reveals the shape (roughly symmetric or unimodal with peak ~0.20–0.25), center (around 0.20), and spread (from ~0.05 to ~0.35).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and D are bar charts with one bar per player (categorical x-axis), which emphasize individual values rather than the overall distribution and obscure shape/spread.</w:t>
      </w:r>
    </w:p>
    <w:p>
      <w:pPr>
        <w:pStyle w:val="Normal"/>
      </w:pPr>
      <w:r>
        <w:t xml:space="preserve">- C appears to be a bar chart or histogram for a different scale (x-axis to 55, incompatible with proportions 0–1), unsuitable for this variable.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2026-04-16T10:20:46Z</dcterms:modified>
  <cp:category/>
</cp:coreProperties>
</file>