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boxplot for Section A shows a wider interquartile range (IQR; the box spans roughly 45–95) and longer overall whiskers (extending to ~25 and ~115), indicating greater spread in the middle 50% of scores and extremes. Section B has a narrower IQR (~55–85) and shorter whiskers (~45–95), reflecting less variability. Since standard deviation quantifies overall dispersion and correlates strongly with these features (e.g., IQR ≈ 1.35σ for normal data), Section A has the greater SD. Exact computation requires raw data, but the plots clearly allow this inference.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2026-04-16T10:09:28Z</dcterms:modified>
  <cp:category/>
</cp:coreProperties>
</file>