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**E**</w:t>
      </w:r>
    </w:p>
    <w:p>
      <w:pPr>
        <w:pStyle w:val="Normal"/>
      </w:pPr>
      <w:r>
        <w:t xml:space="preserve"/>
      </w:r>
    </w:p>
    <w:p>
      <w:pPr>
        <w:pStyle w:val="Normal"/>
      </w:pPr>
      <w:r>
        <w:t xml:space="preserve">Boxplots summarize quartiles, median, and range (or inner fences), but they do not provide frequencies, sample sizes, or distributional details within the whiskers. The percentage of scores ≤30 depends on the (unknown) number and placement of data points from the minimum up to 30, which could be anywhere from 0% to nearly 25% if 30 lies between the minimum and Q1 (as appears roughly true for both sections based on the plots). Without raw data, histograms, or cumulative distribution info, we cannot compare the percentages between sections or rule out equality.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2026-04-16T10:25:56Z</dcterms:modified>
  <cp:category/>
</cp:coreProperties>
</file>