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w:t>
      </w:r>
    </w:p>
    <w:p>
      <w:pPr>
        <w:pStyle w:val="Normal"/>
      </w:pPr>
      <w:r>
        <w:t xml:space="preserve"/>
      </w:r>
    </w:p>
    <w:p>
      <w:pPr>
        <w:pStyle w:val="Normal"/>
      </w:pPr>
      <w:r>
        <w:t xml:space="preserve">Observational studies are often preferred when random assignment or manipulation of the independent variable is unethical, impractical, or impossible (e.g., studying effects of smoking or income inequality). In such cases, they typically offer superior external validity due to data collection in naturalistic, real-world settings, allowing stronger generalization to broader populations compared to controlled lab or randomized experiments, which may sacrifice realism for internal validity. Options B–D are incorrect: experiments generally have stronger internal validity (B); sample sizes depend on statistical power rather than study type (C); and representative sampling is essential for valid inference in both designs (D).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2026-04-16T09:51:33Z</dcterms:modified>
  <cp:category/>
</cp:coreProperties>
</file>