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Confidence intervals are best interpreted as providing a range of plausible parameter values (e.g., effect sizes) compatible with the observed data under the sampling model and at the given confidence level (e.g., values not rejected by tests at $\alpha = 0.05$ for 95% CIs). This emphasizes estimation and uncertainty in magnitude/direction over dichotomous decisions, aligning with recommendations from sources like Cumming's *The New Statistics* and ASA guidelines.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is imprecise; CIs quantify uncertainty in estimation, while p-values assess null compatibility.  </w:t>
      </w:r>
    </w:p>
    <w:p>
      <w:pPr>
        <w:pStyle w:val="Normal"/>
      </w:pPr>
      <w:r>
        <w:t xml:space="preserve">- (C) misuses CIs for NHST (e.g., "non-significance" if 0 is included), reducing informativeness.  </w:t>
      </w:r>
    </w:p>
    <w:p>
      <w:pPr>
        <w:pStyle w:val="Normal"/>
      </w:pPr>
      <w:r>
        <w:t xml:space="preserve">- (D) is overly dismissive; CIs avoid many p-value pitfalls when interpreted properly.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2026-04-16T09:46:38Z</dcterms:modified>
  <cp:category/>
</cp:coreProperties>
</file>