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Response bias arises in surveys or questionnaires whenever respondents provide inaccurate or untruthful answers (whether deliberately or unintentionally). A classic driver of such inaccuracy is social-desirability pressure: questions on topics such as personal hygiene, income, or illegal behavior prompt many people to give answers that portray them in a more favorable light. This is precisely the situation described in the stem.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other options can be ruled out quickly:</w:t>
      </w:r>
    </w:p>
    <w:p>
      <w:pPr>
        <w:pStyle w:val="Normal"/>
      </w:pPr>
      <w:r>
        <w:t xml:space="preserve">- Sampling bias concerns how the sample is selected (e.g., convenience or under-coverage), not the truthfulness of answers once respondents are in the sample.</w:t>
      </w:r>
    </w:p>
    <w:p>
      <w:pPr>
        <w:pStyle w:val="Normal"/>
      </w:pPr>
      <w:r>
        <w:t xml:space="preserve">- Confounding refers to the entanglement of two explanatory variables in an observational study; it has no direct connection to survey-response behavior.</w:t>
      </w:r>
    </w:p>
    <w:p>
      <w:pPr>
        <w:pStyle w:val="Normal"/>
      </w:pPr>
      <w:r>
        <w:t xml:space="preserve">- Non-response bias occurs when those who decline to participate differ systematically from those who do; the stem concerns people who do answer but give false information.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phenomenon is a textbook illustration of response bias.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(D) response bias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2026-05-18T11:14:52Z</dcterms:modified>
  <cp:category/>
</cp:coreProperties>
</file>