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described scenario matches the definition of a Type II error exactly (i.e., the event itself). Its probability is denoted \(\beta\), but the question is not asking for that probability or its symbol; likewise, \(\alpha\) and Type I error refer to the complementary mistake of rejecting a true null. Thus the single best choice is (D).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(D) Type 2 error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2026-05-18T11:04:29Z</dcterms:modified>
  <cp:category/>
</cp:coreProperties>
</file>