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Observational studies (in which the researcher does not intervene or assign treatments) are distinguished from randomized experiments by the absence of random assignment. This precludes credible causal inference in the absence of strong additional assumptions, because confounding cannot be ruled out by design.</w:t>
      </w:r>
    </w:p>
    <w:p>
      <w:pPr>
        <w:pStyle w:val="Normal"/>
      </w:pPr>
      <w:r>
        <w:t xml:space="preserve"/>
      </w:r>
    </w:p>
    <w:p>
      <w:pPr>
        <w:pStyle w:val="Normal"/>
      </w:pPr>
      <w:r>
        <w:t xml:space="preserve">By contrast, when an observational study is based on a probability sample drawn from a well-defined finite population, design-based (or model-assisted) inference permits population inference for descriptive quantities such as means, proportions, or regression coefficients. Classic examples include complex surveys and cohort studies that employ random sampling; the sampling design directly supplies the basis for generalizing from the observed units to the target population.</w:t>
      </w:r>
    </w:p>
    <w:p>
      <w:pPr>
        <w:pStyle w:val="Normal"/>
      </w:pPr>
      <w:r>
        <w:t xml:space="preserve"/>
      </w:r>
    </w:p>
    <w:p>
      <w:pPr>
        <w:pStyle w:val="Normal"/>
      </w:pPr>
      <w:r>
        <w:t xml:space="preserve">Consequently, observational studies permit population inference (option A) but not causal inference. They therefore do not permit both forms of inference, nor do they permit neither.</w:t>
      </w:r>
    </w:p>
    <w:p>
      <w:pPr>
        <w:pStyle w:val="Normal"/>
      </w:pPr>
      <w:r>
        <w:t xml:space="preserve"/>
      </w:r>
    </w:p>
    <w:p>
      <w:pPr>
        <w:pStyle w:val="Normal"/>
      </w:pPr>
      <w:r>
        <w:t xml:space="preserve">Final answer: (A) population inference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2026-05-18T11:10:50Z</dcterms:modified>
  <cp:category/>
</cp:coreProperties>
</file>