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**Hypotheses**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\(H_0\): No association exists between average weekly hours worked (categories: &lt;11, 11–20, &gt;20) and perceived effect on academics (positive / none / negative).</w:t>
      </w:r>
    </w:p>
    <w:p>
      <w:pPr>
        <w:pStyle w:val="Normal"/>
      </w:pPr>
      <w:r>
        <w:t xml:space="preserve">- \(H_a\): An association exists between the two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**Conditions for the \(\chi^2\) test**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All three standard conditions hold: (1) the data come from a simple random sample of students; (2) the sample size (\(n=200\)) is less than 10 % of the population (&gt;20 000), so observations may be treated as independent; (3) every expected cell count printed in the output is at least 5 (smallest = 6.825).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 from the test**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observed \(\chi^2=13.938\) on 4 df yields \(P=0.007\). At the conventional \(\alpha=0.05\) level we reject \(H_0\). The data provide statistically significant evidence that hours worked per week and students’ perceptions of the effect on academic performance are associated.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**Possible error and its interpretation**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\(H_0\) was rejected, the only error that could have been committed is a Type I error: concluding that an association exists in the university population when in fact no association is present.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H0: no assoc.; Ha: assoc. exists; all χ² cond. OK (SRS, indep., E≥5); reject H0 (P=0.007); Type I error possible (false assoc. claim)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2026-05-18T09:26:11Z</dcterms:modified>
  <cp:category/>
</cp:coreProperties>
</file>