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student's conclusion is based on cherry-picking a handful of extreme observations (two early relief times under the old formula, and one late relief time under the new formula) while ignoring the clear pattern in the rest of the data. The dot plots show that the bulk of the new-formula times are concentrated well to the left of the old-formula times (roughly 40–70 min versus 65–90 min), indicating a substantially faster central tendency for the new formula. Because the claim rests on a non-representative subset of the data and contradicts the overall distributional evidence, the conclusion that the old formula “works better” is statistically invalid.</w:t>
      </w:r>
    </w:p>
    <w:p>
      <w:pPr>
        <w:pStyle w:val="Normal"/>
      </w:pPr>
      <w:r>
        <w:t xml:space="preserve"/>
      </w:r>
    </w:p>
    <w:p>
      <w:pPr>
        <w:pStyle w:val="Normal"/>
      </w:pPr>
      <w:r>
        <w:t xml:space="preserve">(B) Not Valid.</w:t>
      </w:r>
    </w:p>
    <w:p>
      <w:pPr>
        <w:pStyle w:val="Normal"/>
      </w:pPr>
      <w:r>
        <w:t xml:space="preserve"/>
      </w:r>
    </w:p>
    <w:p>
      <w:pPr>
        <w:pStyle w:val="Normal"/>
      </w:pPr>
      <w:r>
        <w:t xml:space="preserve">Final answer: (B) Not 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2026-05-18T09:42:07Z</dcterms:modified>
  <cp:category/>
</cp:coreProperties>
</file>