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study uses both random sampling from the target population of headache patients and random assignment to treatment groups. This design supports causal inference, so the observed difference in sample means can be attributed to the medication formulas themselves rather than to confounding variables.</w:t>
      </w:r>
    </w:p>
    <w:p>
      <w:pPr>
        <w:pStyle w:val="Normal"/>
      </w:pPr>
      <w:r>
        <w:t xml:space="preserve"/>
      </w:r>
    </w:p>
    <w:p>
      <w:pPr>
        <w:pStyle w:val="Normal"/>
      </w:pPr>
      <w:r>
        <w:t xml:space="preserve">Visual inspection of the dot plots shows that the centers of the two distributions differ by approximately 20 minutes (new-formula cluster centered near 55 min, old-formula cluster centered near 75 min). Because the data were obtained from a random sample, this 20-minute difference can be generalized beyond the 250 study participants: patients who receive the new formula will tend to experience relief about 20 minutes sooner than those who receive the old formula.</w:t>
      </w:r>
    </w:p>
    <w:p>
      <w:pPr>
        <w:pStyle w:val="Normal"/>
      </w:pPr>
      <w:r>
        <w:t xml:space="preserve"/>
      </w:r>
    </w:p>
    <w:p>
      <w:pPr>
        <w:pStyle w:val="Normal"/>
      </w:pPr>
      <w:r>
        <w:t xml:space="preserve">Thus the student’s conclusion is statistically justified by both the randomization and the observed difference in centers.</w:t>
      </w:r>
    </w:p>
    <w:p>
      <w:pPr>
        <w:pStyle w:val="Normal"/>
      </w:pPr>
      <w:r>
        <w:t xml:space="preserve"/>
      </w:r>
    </w:p>
    <w:p>
      <w:pPr>
        <w:pStyle w:val="Normal"/>
      </w:pPr>
      <w:r>
        <w:t xml:space="preserve">Final answer: (A) Valid.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2026-05-18T09:35:38Z</dcterms:modified>
  <cp:category/>
</cp:coreProperties>
</file>