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student's reasoning is flawed, as unequal sample sizes (here, \(n=100\) vs. \(n=150\)) pose no inherent barrier to valid statistical comparison of the two groups. Standard two-sample procedures (e.g., a two-sample \(t\)-test or Wilcoxon rank-sum test) are specifically designed to accommodate unequal \(n\) while properly accounting for sampling variability; the test statistic and \(p\)-value are computed directly from the observed data and the respective group sizes.  </w:t>
      </w:r>
    </w:p>
    <w:p>
      <w:pPr>
        <w:pStyle w:val="Normal"/>
      </w:pPr>
      <w:r>
        <w:t xml:space="preserve"/>
      </w:r>
    </w:p>
    <w:p>
      <w:pPr>
        <w:pStyle w:val="Normal"/>
      </w:pPr>
      <w:r>
        <w:t xml:space="preserve">Visually, the dot plots already suggest a clear location shift (new-formula relief times cluster roughly 20 min earlier than old-formula times), and any formal inference would simply weight each observation by its group size rather than requiring equal \(n\). Therefore the claim that “no fair comparison is possible” is statistically incorrect, rendering the student’s overall conclusion invalid.</w:t>
      </w:r>
    </w:p>
    <w:p>
      <w:pPr>
        <w:pStyle w:val="Normal"/>
      </w:pPr>
      <w:r>
        <w:t xml:space="preserve"/>
      </w:r>
    </w:p>
    <w:p>
      <w:pPr>
        <w:pStyle w:val="Normal"/>
      </w:pPr>
      <w:r>
        <w:t xml:space="preserve">Final answer: (B) Not Valid.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2026-05-18T09:46:18Z</dcterms:modified>
  <cp:category/>
</cp:coreProperties>
</file>