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data show that the country route has both a slightly higher mean travel time (16.6 min vs. 15.4 min) and dramatically lower variability (sd \(\approx\) 1.0 min vs. \(\approx\) 4.0 min).  </w:t>
      </w:r>
    </w:p>
    <w:p>
      <w:pPr>
        <w:pStyle w:val="Normal"/>
      </w:pPr>
      <w:r>
        <w:t xml:space="preserve"/>
      </w:r>
    </w:p>
    <w:p>
      <w:pPr>
        <w:pStyle w:val="Normal"/>
      </w:pPr>
      <w:r>
        <w:t xml:space="preserve">Because Jean’s objective is to arrive neither late nor unnecessarily early, the relevant criterion is predictability rather than the possibility of an occasional fast trip. The country route’s tight range (15–18 min) lets her choose a departure time that reliably places her at the target arrival window; the city route’s wide dispersion (10–20 min) creates a non-negligible risk of either tardiness or excess early waiting (and therefore higher parking cost).  </w:t>
      </w:r>
    </w:p>
    <w:p>
      <w:pPr>
        <w:pStyle w:val="Normal"/>
      </w:pPr>
      <w:r>
        <w:t xml:space="preserve"/>
      </w:r>
    </w:p>
    <w:p>
      <w:pPr>
        <w:pStyle w:val="Normal"/>
      </w:pPr>
      <w:r>
        <w:t xml:space="preserve">A formal two-sample t-test would be inconclusive given the small samples and unequal variances, but that test addresses only a difference in means; it does not address the decision-relevant quantity—travel-time variance. Consequently the data favor the country route for its consistency.</w:t>
      </w:r>
    </w:p>
    <w:p>
      <w:pPr>
        <w:pStyle w:val="Normal"/>
      </w:pPr>
      <w:r>
        <w:t xml:space="preserve"/>
      </w:r>
    </w:p>
    <w:p>
      <w:pPr>
        <w:pStyle w:val="Normal"/>
      </w:pPr>
      <w:r>
        <w:t xml:space="preserve">Final answer: 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2026-05-18T09:38:55Z</dcterms:modified>
  <cp:category/>
</cp:coreProperties>
</file>