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scatterplot shows a dense cluster of points at low anxiety levels (roughly 0–20), with science achievement scores scattered across a wide vertical range (roughly 17–27) and no discernible upward or downward slope. A single distant outlier at high anxiety (~50) does not create an overall linear pattern.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strong negative linear relationship (option A) would require the points to lie close to a clear downward-sloping line; that is not observed. A moderate linear relationship (option B) would still produce a visible, consistent trend; again, none is present. The data therefore exhibit very little, if any, linear association, which corresponds to option (C).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C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2026-05-18T09:58:49Z</dcterms:modified>
  <cp:category/>
</cp:coreProperties>
</file>