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study is based on a large random sample and reports a statistically significant correlation, which is sufficient to support a descriptive inference about a positive association in the population. However, the data are purely observational (a one-time survey with no manipulation, randomization to conditions, or temporal precedence established). In the absence of these design features, alternative explanations such as confounding (e.g., education, environmental attitudes, urban vs. rural residence) cannot be ruled out; therefore no causal claim is warranted.  </w:t>
      </w:r>
    </w:p>
    <w:p>
      <w:pPr>
        <w:pStyle w:val="Normal"/>
      </w:pPr>
      <w:r>
        <w:t xml:space="preserve"/>
      </w:r>
    </w:p>
    <w:p>
      <w:pPr>
        <w:pStyle w:val="Normal"/>
      </w:pPr>
      <w:r>
        <w:t xml:space="preserve">Option (B) is incorrect because \(n=1000\) is large and the result is already reported as statistically significant. Option (C) is incorrect because it explicitly attributes a causal influence (“earning more money influences…”) that the design does not support.  </w:t>
      </w:r>
    </w:p>
    <w:p>
      <w:pPr>
        <w:pStyle w:val="Normal"/>
      </w:pPr>
      <w:r>
        <w:t xml:space="preserve"/>
      </w:r>
    </w:p>
    <w:p>
      <w:pPr>
        <w:pStyle w:val="Normal"/>
      </w:pPr>
      <w:r>
        <w:t xml:space="preserve">Thus the only defensible interpretation is (A).</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2026-05-18T09:32:51Z</dcterms:modified>
  <cp:category/>
</cp:coreProperties>
</file>