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choice is (B).  </w:t>
      </w:r>
    </w:p>
    <w:p>
      <w:pPr>
        <w:pStyle w:val="Normal"/>
      </w:pPr>
      <w:r>
        <w:t xml:space="preserve"/>
      </w:r>
    </w:p>
    <w:p>
      <w:pPr>
        <w:pStyle w:val="Normal"/>
      </w:pPr>
      <w:r>
        <w:t xml:space="preserve">Failing to reject \(H_0:\mu_T=\mu_C\) at a conventional significance level (e.g., \(\alpha=0.05\)) does not constitute proof that \(H_0\) is true; it only indicates that the observed data are compatible with no difference (or that any difference is smaller than the experiment could reliably detect). With only \(n=30\) fish per arm, the study’s power to detect a modest but biologically meaningful shift in mean enzyme level may be low, especially if the within-group standard deviation is appreciable. Consequently, a non-significant result can arise simply because the design lacked adequate sensitivity (Type II error), which is precisely the situation described by option (B).  </w:t>
      </w:r>
    </w:p>
    <w:p>
      <w:pPr>
        <w:pStyle w:val="Normal"/>
      </w:pPr>
      <w:r>
        <w:t xml:space="preserve"/>
      </w:r>
    </w:p>
    <w:p>
      <w:pPr>
        <w:pStyle w:val="Normal"/>
      </w:pPr>
      <w:r>
        <w:t xml:space="preserve">Option (A) is untenable because it assumes an effect must exist and therefore misrepresents the logic of hypothesis testing. Option (C) commits the classic error of “accepting the null,” which is never justified by a single non-significant test.  </w:t>
      </w:r>
    </w:p>
    <w:p>
      <w:pPr>
        <w:pStyle w:val="Normal"/>
      </w:pPr>
      <w:r>
        <w:t xml:space="preserve"/>
      </w:r>
    </w:p>
    <w:p>
      <w:pPr>
        <w:pStyle w:val="Normal"/>
      </w:pPr>
      <w:r>
        <w:t xml:space="preserve">Thus the only defensible statistical conclusion is that the sample may have been too small to detect a real difference if one existed.  </w:t>
      </w:r>
    </w:p>
    <w:p>
      <w:pPr>
        <w:pStyle w:val="Normal"/>
      </w:pPr>
      <w:r>
        <w:t xml:space="preserve"/>
      </w:r>
    </w:p>
    <w:p>
      <w:pPr>
        <w:pStyle w:val="Normal"/>
      </w:pPr>
      <w:r>
        <w:t xml:space="preserve">Final answer: (B)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2026-05-18T09:42:48Z</dcterms:modified>
  <cp:category/>
</cp:coreProperties>
</file>