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given statement is a misinterpretation of the CI. A 95% CI estimates only the unknown population mean \(\mu\) (i.e., the long-run average number of chips per cookie), not the number of chips that any individual cookie will contain. The interval therefore says nothing about the chip count of “each cookie,” and the interpretation is invalid.</w:t>
      </w:r>
    </w:p>
    <w:p>
      <w:pPr>
        <w:pStyle w:val="Normal"/>
      </w:pPr>
      <w:r>
        <w:t xml:space="preserve"/>
      </w:r>
    </w:p>
    <w:p>
      <w:pPr>
        <w:pStyle w:val="Normal"/>
      </w:pPr>
      <w:r>
        <w:t xml:space="preserve">Final answer: (B)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2026-05-18T09:34:49Z</dcterms:modified>
  <cp:category/>
</cp:coreProperties>
</file>