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The goal of the survey is inference about a population parameter (here, the proportion of all dormitory residents preferring each room type). Valid generalization from sample to population requires a probability-based sampling method that produces a representative sample from the target population; it does **not** require any particular finite-population size or any particular sample size (provided the sampling fraction is not so large that finite-population corrections become material).  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Option (A) states that a simple random sample of size 500 was drawn from the finite population of 5 000 dormitory residents. Because the sample is random, every resident has a known positive inclusion probability and standard design-based inference applies directly. The numerical values 5 000 and 500 affect only the magnitude of the sampling variance (and possibly a finite-population correction factor), not the legitimacy of generalizing the results. Hence (A) does **not** impair the official’s ability to generalize.  </w:t>
      </w:r>
    </w:p>
    <w:p>
      <w:pPr>
        <w:pStyle w:val="Normal"/>
      </w:pPr>
      <w:r>
        <w:t xml:space="preserve">- Option (B) restricts the sampling frame to first-year students only. The resulting sample is not representative of the full target population, so generalization is biased.  </w:t>
      </w:r>
    </w:p>
    <w:p>
      <w:pPr>
        <w:pStyle w:val="Normal"/>
      </w:pPr>
      <w:r>
        <w:t xml:space="preserve">- Options (C) and (D) describe non-response. When response is related to room-type preference, the observed 160 students are no longer a random sub-sample of the original 500; non-response bias therefore threatens generalization.  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Thus the only choice that leaves the inferential link intact is (A).  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Final answer: A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2026-05-18T09:53:20Z</dcterms:modified>
  <cp:category/>
</cp:coreProperties>
</file>