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data used to fit the regression line span only the years 1910–2000. Predicting the farm population in 2050 therefore requires extrapolation far outside the observed range of the predictor.  </w:t>
      </w:r>
    </w:p>
    <w:p>
      <w:pPr>
        <w:pStyle w:val="Normal"/>
      </w:pPr>
      <w:r>
        <w:t xml:space="preserve"/>
      </w:r>
    </w:p>
    <w:p>
      <w:pPr>
        <w:pStyle w:val="Normal"/>
      </w:pPr>
      <w:r>
        <w:t xml:space="preserve">The fitted equation yields a negative predicted population for 2050 (\(1167 - 0.59 \times 2050 = -42.5\)), which is impossible. This illustrates that the linear trend observed in the twentieth century cannot be assumed to continue unchanged for another half-century; the relationship may flatten, reverse, or encounter a lower bound at zero.  </w:t>
      </w:r>
    </w:p>
    <w:p>
      <w:pPr>
        <w:pStyle w:val="Normal"/>
      </w:pPr>
      <w:r>
        <w:t xml:space="preserve"/>
      </w:r>
    </w:p>
    <w:p>
      <w:pPr>
        <w:pStyle w:val="Normal"/>
      </w:pPr>
      <w:r>
        <w:t xml:space="preserve">Both proposed methods (direct substitution and graphical reading from the line) perform exactly the same extrapolation and are therefore equally invalid. The appropriate statistical conclusion is that neither method should be used.</w:t>
      </w:r>
    </w:p>
    <w:p>
      <w:pPr>
        <w:pStyle w:val="Normal"/>
      </w:pPr>
      <w:r>
        <w:t xml:space="preserve"/>
      </w:r>
    </w:p>
    <w:p>
      <w:pPr>
        <w:pStyle w:val="Normal"/>
      </w:pPr>
      <w:r>
        <w:t xml:space="preserve">Final answer: (C)</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2026-05-18T09:48:59Z</dcterms:modified>
  <cp:category/>
</cp:coreProperties>
</file>